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F2" w:rsidRDefault="0009454D">
      <w:pPr>
        <w:pStyle w:val="Tytu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SCENARIUSZ ZAJĘĆ OTWARTYCH</w:t>
      </w:r>
    </w:p>
    <w:p w:rsidR="00207BF2" w:rsidRDefault="00207BF2">
      <w:pPr>
        <w:pStyle w:val="Standard"/>
        <w:jc w:val="center"/>
      </w:pPr>
    </w:p>
    <w:p w:rsidR="00207BF2" w:rsidRDefault="00207BF2">
      <w:pPr>
        <w:pStyle w:val="Standard"/>
        <w:jc w:val="both"/>
        <w:rPr>
          <w:b/>
          <w:bCs/>
        </w:rPr>
      </w:pPr>
    </w:p>
    <w:p w:rsidR="00207BF2" w:rsidRDefault="0009454D">
      <w:pPr>
        <w:pStyle w:val="Standard"/>
        <w:jc w:val="both"/>
      </w:pPr>
      <w:r>
        <w:rPr>
          <w:b/>
          <w:bCs/>
        </w:rPr>
        <w:t>Data</w:t>
      </w:r>
      <w:r>
        <w:t>: 26.09.2019r.</w:t>
      </w:r>
    </w:p>
    <w:p w:rsidR="00207BF2" w:rsidRDefault="0009454D">
      <w:pPr>
        <w:pStyle w:val="Standard"/>
        <w:jc w:val="both"/>
      </w:pPr>
      <w:r>
        <w:rPr>
          <w:b/>
          <w:bCs/>
        </w:rPr>
        <w:t>Klasa</w:t>
      </w:r>
      <w:r>
        <w:t>: I a</w:t>
      </w:r>
    </w:p>
    <w:p w:rsidR="00207BF2" w:rsidRDefault="0009454D">
      <w:pPr>
        <w:pStyle w:val="Standard"/>
        <w:jc w:val="both"/>
      </w:pPr>
      <w:r>
        <w:rPr>
          <w:b/>
          <w:bCs/>
        </w:rPr>
        <w:t>Poziom</w:t>
      </w:r>
      <w:r>
        <w:t xml:space="preserve"> </w:t>
      </w:r>
      <w:r>
        <w:rPr>
          <w:b/>
          <w:bCs/>
        </w:rPr>
        <w:t>zaawansowania:</w:t>
      </w:r>
      <w:r>
        <w:t xml:space="preserve"> początkujący</w:t>
      </w:r>
    </w:p>
    <w:p w:rsidR="00207BF2" w:rsidRDefault="0009454D">
      <w:pPr>
        <w:pStyle w:val="Standard"/>
        <w:jc w:val="both"/>
      </w:pPr>
      <w:r>
        <w:rPr>
          <w:b/>
          <w:bCs/>
        </w:rPr>
        <w:t xml:space="preserve">Metody nauczania: </w:t>
      </w:r>
      <w:r>
        <w:t>metoda wizualna</w:t>
      </w:r>
      <w:r>
        <w:rPr>
          <w:b/>
          <w:bCs/>
        </w:rPr>
        <w:t xml:space="preserve"> </w:t>
      </w:r>
      <w:r>
        <w:t xml:space="preserve">(prezentacja na tablicy interaktywnej/monitorze </w:t>
      </w:r>
      <w:r>
        <w:t>interaktywnym, ilustracje), metoda słowna (dialogi z nauczycielem i innymi uczniami), metoda czynna (wskazywanie odpowiednich obrazków, wyrażanie słów za pomocą gestów w wyliczance), metoda zabawowa (gry na tablicy interaktywnej)</w:t>
      </w:r>
    </w:p>
    <w:p w:rsidR="00207BF2" w:rsidRDefault="0009454D">
      <w:pPr>
        <w:pStyle w:val="Standard"/>
        <w:jc w:val="both"/>
      </w:pPr>
      <w:r>
        <w:rPr>
          <w:b/>
          <w:bCs/>
        </w:rPr>
        <w:t xml:space="preserve">Formy pracy uczniów: </w:t>
      </w:r>
      <w:r>
        <w:t>praca</w:t>
      </w:r>
      <w:r>
        <w:t xml:space="preserve"> indywidualna, praca grupowa</w:t>
      </w:r>
    </w:p>
    <w:p w:rsidR="00207BF2" w:rsidRDefault="0009454D">
      <w:pPr>
        <w:pStyle w:val="Standard"/>
        <w:jc w:val="both"/>
      </w:pPr>
      <w:r>
        <w:rPr>
          <w:b/>
          <w:bCs/>
        </w:rPr>
        <w:t>Środki dydaktyczne</w:t>
      </w:r>
      <w:r>
        <w:t>: e-podręcznik „New English Adventure 1”, tablica interaktywna/monitor interaktywny, edukacyjne strony internetowe do nauki języka angielskiego.</w:t>
      </w:r>
    </w:p>
    <w:p w:rsidR="00207BF2" w:rsidRDefault="00207BF2">
      <w:pPr>
        <w:pStyle w:val="Standard"/>
      </w:pPr>
    </w:p>
    <w:p w:rsidR="00207BF2" w:rsidRDefault="0009454D">
      <w:pPr>
        <w:pStyle w:val="Standard"/>
      </w:pPr>
      <w:r>
        <w:rPr>
          <w:b/>
          <w:bCs/>
        </w:rPr>
        <w:t>Cele</w:t>
      </w:r>
      <w:r>
        <w:t xml:space="preserve"> </w:t>
      </w:r>
      <w:r>
        <w:rPr>
          <w:b/>
          <w:bCs/>
        </w:rPr>
        <w:t>lekcji</w:t>
      </w:r>
      <w:r>
        <w:t>:</w:t>
      </w:r>
    </w:p>
    <w:p w:rsidR="00207BF2" w:rsidRDefault="0009454D">
      <w:pPr>
        <w:pStyle w:val="Standard"/>
      </w:pPr>
      <w:r>
        <w:rPr>
          <w:i/>
          <w:iCs/>
          <w:u w:val="single"/>
        </w:rPr>
        <w:t>Główne:</w:t>
      </w:r>
    </w:p>
    <w:p w:rsidR="00207BF2" w:rsidRDefault="0009454D">
      <w:pPr>
        <w:pStyle w:val="Standard"/>
        <w:numPr>
          <w:ilvl w:val="0"/>
          <w:numId w:val="7"/>
        </w:numPr>
        <w:ind w:left="284"/>
      </w:pPr>
      <w:r>
        <w:t>Nauka nazw części twarzy</w:t>
      </w:r>
    </w:p>
    <w:p w:rsidR="00207BF2" w:rsidRDefault="0009454D">
      <w:pPr>
        <w:pStyle w:val="Standard"/>
        <w:numPr>
          <w:ilvl w:val="0"/>
          <w:numId w:val="7"/>
        </w:numPr>
        <w:ind w:left="284"/>
      </w:pPr>
      <w:r>
        <w:t>Nauka rymowanki</w:t>
      </w:r>
    </w:p>
    <w:p w:rsidR="00207BF2" w:rsidRDefault="0009454D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>P</w:t>
      </w:r>
      <w:r>
        <w:rPr>
          <w:i/>
          <w:iCs/>
          <w:u w:val="single"/>
        </w:rPr>
        <w:t>oboczne:</w:t>
      </w:r>
    </w:p>
    <w:p w:rsidR="00207BF2" w:rsidRDefault="0009454D">
      <w:pPr>
        <w:pStyle w:val="Standard"/>
        <w:numPr>
          <w:ilvl w:val="0"/>
          <w:numId w:val="8"/>
        </w:numPr>
        <w:ind w:left="709"/>
      </w:pPr>
      <w:r>
        <w:t>Nabywanie odpowiedniej melodii języka i intonacji</w:t>
      </w:r>
    </w:p>
    <w:p w:rsidR="00207BF2" w:rsidRDefault="0009454D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>Operacyjne:</w:t>
      </w:r>
    </w:p>
    <w:p w:rsidR="00207BF2" w:rsidRDefault="00207BF2">
      <w:pPr>
        <w:pStyle w:val="Standard"/>
      </w:pPr>
    </w:p>
    <w:p w:rsidR="00207BF2" w:rsidRDefault="0009454D">
      <w:pPr>
        <w:pStyle w:val="Standard"/>
        <w:numPr>
          <w:ilvl w:val="0"/>
          <w:numId w:val="9"/>
        </w:numPr>
        <w:ind w:left="284"/>
      </w:pPr>
      <w:r>
        <w:t>Uczeń potrafi nazwać różne części twarzy w j. angielskim</w:t>
      </w:r>
    </w:p>
    <w:p w:rsidR="00207BF2" w:rsidRDefault="0009454D">
      <w:pPr>
        <w:pStyle w:val="Standard"/>
        <w:numPr>
          <w:ilvl w:val="0"/>
          <w:numId w:val="9"/>
        </w:numPr>
        <w:ind w:left="284"/>
      </w:pPr>
      <w:r>
        <w:t>Uczeń potrafi powiedzieć rymowankę o częściach twarzy</w:t>
      </w:r>
    </w:p>
    <w:p w:rsidR="00207BF2" w:rsidRDefault="00207BF2">
      <w:pPr>
        <w:pStyle w:val="Standard"/>
        <w:rPr>
          <w:b/>
          <w:bCs/>
        </w:rPr>
      </w:pPr>
    </w:p>
    <w:p w:rsidR="00207BF2" w:rsidRDefault="0009454D">
      <w:pPr>
        <w:pStyle w:val="Standard"/>
      </w:pPr>
      <w:r>
        <w:rPr>
          <w:b/>
          <w:bCs/>
        </w:rPr>
        <w:t xml:space="preserve">Temat: </w:t>
      </w:r>
      <w:r>
        <w:rPr>
          <w:rFonts w:cs="Tahoma"/>
          <w:i/>
          <w:iCs/>
          <w:color w:val="000000"/>
        </w:rPr>
        <w:t>My face – nauka części twarzy.</w:t>
      </w:r>
    </w:p>
    <w:p w:rsidR="00207BF2" w:rsidRDefault="00207BF2">
      <w:pPr>
        <w:pStyle w:val="Standard"/>
        <w:rPr>
          <w:b/>
          <w:bCs/>
        </w:rPr>
      </w:pPr>
    </w:p>
    <w:p w:rsidR="00207BF2" w:rsidRDefault="0009454D">
      <w:pPr>
        <w:pStyle w:val="Nagwek1"/>
        <w:rPr>
          <w:lang w:val="pl-PL"/>
        </w:rPr>
      </w:pPr>
      <w:r>
        <w:rPr>
          <w:lang w:val="pl-PL"/>
        </w:rPr>
        <w:t>FAZA WSTĘPNA</w:t>
      </w:r>
    </w:p>
    <w:p w:rsidR="00207BF2" w:rsidRDefault="0009454D">
      <w:pPr>
        <w:pStyle w:val="Standard"/>
      </w:pPr>
      <w:r>
        <w:t>SPRAWY ORGANIZACYJNO</w:t>
      </w:r>
      <w:r>
        <w:t xml:space="preserve"> – PORZĄDKOWE</w:t>
      </w:r>
    </w:p>
    <w:p w:rsidR="00207BF2" w:rsidRDefault="0009454D">
      <w:pPr>
        <w:pStyle w:val="Standard"/>
        <w:numPr>
          <w:ilvl w:val="0"/>
          <w:numId w:val="10"/>
        </w:numPr>
        <w:jc w:val="both"/>
        <w:rPr>
          <w:lang w:val="en-GB"/>
        </w:rPr>
      </w:pPr>
      <w:proofErr w:type="spellStart"/>
      <w:r>
        <w:rPr>
          <w:lang w:val="en-GB"/>
        </w:rPr>
        <w:t>Przywitanie</w:t>
      </w:r>
      <w:proofErr w:type="spellEnd"/>
      <w:r>
        <w:rPr>
          <w:lang w:val="en-GB"/>
        </w:rPr>
        <w:t xml:space="preserve"> – Hello students! / Hello teacher!</w:t>
      </w:r>
    </w:p>
    <w:p w:rsidR="00207BF2" w:rsidRDefault="0009454D">
      <w:pPr>
        <w:pStyle w:val="Standard"/>
        <w:numPr>
          <w:ilvl w:val="0"/>
          <w:numId w:val="10"/>
        </w:numPr>
        <w:jc w:val="both"/>
      </w:pPr>
      <w:r>
        <w:t>Nauczyciel przedstawia cele lekcji oraz pokazuje krótki materiał filmowy na tablicy</w:t>
      </w:r>
    </w:p>
    <w:p w:rsidR="00207BF2" w:rsidRDefault="0009454D">
      <w:pPr>
        <w:pStyle w:val="Standard"/>
        <w:ind w:left="720"/>
        <w:jc w:val="both"/>
      </w:pPr>
      <w:r>
        <w:t xml:space="preserve">Interaktywnej/monitorze interaktywnym, aby zaznajomić dzieci z nowym rozdziałem </w:t>
      </w:r>
      <w:r>
        <w:br/>
      </w:r>
      <w:r>
        <w:t xml:space="preserve">i postaciami bajkowymi, które </w:t>
      </w:r>
      <w:r>
        <w:t>będą im towarzyszyły w rozdziale nr 1</w:t>
      </w:r>
    </w:p>
    <w:p w:rsidR="00207BF2" w:rsidRDefault="0009454D">
      <w:pPr>
        <w:pStyle w:val="Standard"/>
        <w:numPr>
          <w:ilvl w:val="0"/>
          <w:numId w:val="10"/>
        </w:numPr>
        <w:jc w:val="both"/>
      </w:pPr>
      <w:r>
        <w:t>Nauczyciel zapisuje temat</w:t>
      </w:r>
    </w:p>
    <w:p w:rsidR="00207BF2" w:rsidRDefault="00207BF2">
      <w:pPr>
        <w:pStyle w:val="Standard"/>
        <w:jc w:val="both"/>
      </w:pPr>
    </w:p>
    <w:p w:rsidR="00207BF2" w:rsidRDefault="0009454D">
      <w:pPr>
        <w:pStyle w:val="Standard"/>
        <w:rPr>
          <w:b/>
          <w:bCs/>
        </w:rPr>
      </w:pPr>
      <w:r>
        <w:rPr>
          <w:b/>
          <w:bCs/>
        </w:rPr>
        <w:t>FAZA WPROWADZAJĄCA</w:t>
      </w:r>
    </w:p>
    <w:p w:rsidR="00207BF2" w:rsidRDefault="0009454D">
      <w:pPr>
        <w:pStyle w:val="Standard"/>
      </w:pPr>
      <w:r>
        <w:t>Nauczyciel prezentuje różne części twarzy przy użyciu kart obrazkowych. Dzieci powtarzają słowa za pomocą różnych technik: wolno, szybko, cicho, głośno.</w:t>
      </w:r>
    </w:p>
    <w:p w:rsidR="00207BF2" w:rsidRDefault="00207BF2">
      <w:pPr>
        <w:pStyle w:val="Standard"/>
        <w:rPr>
          <w:u w:val="single"/>
        </w:rPr>
      </w:pPr>
    </w:p>
    <w:p w:rsidR="00207BF2" w:rsidRDefault="0009454D">
      <w:pPr>
        <w:pStyle w:val="Nagwek1"/>
        <w:rPr>
          <w:lang w:val="pl-PL"/>
        </w:rPr>
      </w:pPr>
      <w:r>
        <w:rPr>
          <w:lang w:val="pl-PL"/>
        </w:rPr>
        <w:t>FAZA WŁAŚCIWA</w:t>
      </w:r>
    </w:p>
    <w:tbl>
      <w:tblPr>
        <w:tblW w:w="9444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4"/>
      </w:tblGrid>
      <w:tr w:rsidR="00207BF2">
        <w:tblPrEx>
          <w:tblCellMar>
            <w:top w:w="0" w:type="dxa"/>
            <w:bottom w:w="0" w:type="dxa"/>
          </w:tblCellMar>
        </w:tblPrEx>
        <w:tc>
          <w:tcPr>
            <w:tcW w:w="9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7BF2" w:rsidRDefault="0009454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</w:t>
            </w:r>
            <w:r>
              <w:rPr>
                <w:b/>
                <w:bCs/>
              </w:rPr>
              <w:t>zenia</w:t>
            </w:r>
          </w:p>
        </w:tc>
      </w:tr>
      <w:tr w:rsidR="00207BF2">
        <w:tblPrEx>
          <w:tblCellMar>
            <w:top w:w="0" w:type="dxa"/>
            <w:bottom w:w="0" w:type="dxa"/>
          </w:tblCellMar>
        </w:tblPrEx>
        <w:tc>
          <w:tcPr>
            <w:tcW w:w="9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7BF2" w:rsidRDefault="0009454D">
            <w:pPr>
              <w:pStyle w:val="Standard"/>
              <w:numPr>
                <w:ilvl w:val="0"/>
                <w:numId w:val="11"/>
              </w:numPr>
              <w:ind w:left="368"/>
            </w:pPr>
            <w:r>
              <w:t>Dzieci wykonują ćwiczenie „drag and drop” z e-podręcznika - przeciągają w odpowiednie miejsca poszczególne części twarzy</w:t>
            </w:r>
          </w:p>
          <w:p w:rsidR="00207BF2" w:rsidRDefault="0009454D">
            <w:pPr>
              <w:pStyle w:val="Standard"/>
              <w:numPr>
                <w:ilvl w:val="0"/>
                <w:numId w:val="11"/>
              </w:numPr>
              <w:ind w:left="368"/>
            </w:pPr>
            <w:r>
              <w:t>Nauczyciel prosi dzieci, aby posłuchały rymowanki ze str. 4, a następnie zachęca do jej powtórzenia.</w:t>
            </w:r>
          </w:p>
          <w:p w:rsidR="00207BF2" w:rsidRDefault="0009454D">
            <w:pPr>
              <w:pStyle w:val="Standard"/>
              <w:numPr>
                <w:ilvl w:val="0"/>
                <w:numId w:val="11"/>
              </w:numPr>
              <w:ind w:left="368"/>
            </w:pPr>
            <w:r>
              <w:t>Dzieci wykonują ćwiczenie 1</w:t>
            </w:r>
            <w:r>
              <w:t xml:space="preserve"> i 2 z zeszytu ćwiczeń – łączą oraz dorysowują brakujące części twarzy.</w:t>
            </w:r>
          </w:p>
          <w:p w:rsidR="00207BF2" w:rsidRDefault="0009454D">
            <w:pPr>
              <w:pStyle w:val="Standard"/>
              <w:numPr>
                <w:ilvl w:val="0"/>
                <w:numId w:val="11"/>
              </w:numPr>
              <w:ind w:left="368"/>
            </w:pPr>
            <w:r>
              <w:t>Konsolidacja poznanego materiału w grze multimedialnej:</w:t>
            </w:r>
          </w:p>
          <w:p w:rsidR="00207BF2" w:rsidRDefault="0009454D">
            <w:pPr>
              <w:pStyle w:val="Standard"/>
              <w:numPr>
                <w:ilvl w:val="0"/>
                <w:numId w:val="11"/>
              </w:numPr>
              <w:ind w:left="368"/>
            </w:pPr>
            <w:hyperlink r:id="rId8" w:history="1">
              <w:r>
                <w:t>https://www.eslgamesplus.co</w:t>
              </w:r>
              <w:r>
                <w:t>m/body-parts-esl-vocabulary-game-sea-battle-volley-game/</w:t>
              </w:r>
            </w:hyperlink>
          </w:p>
        </w:tc>
      </w:tr>
    </w:tbl>
    <w:p w:rsidR="00207BF2" w:rsidRDefault="00207BF2">
      <w:pPr>
        <w:pStyle w:val="Nagwek1"/>
        <w:rPr>
          <w:lang w:val="pl-PL"/>
        </w:rPr>
      </w:pPr>
    </w:p>
    <w:p w:rsidR="00207BF2" w:rsidRDefault="0009454D">
      <w:pPr>
        <w:pStyle w:val="Nagwek1"/>
        <w:rPr>
          <w:lang w:val="pl-PL"/>
        </w:rPr>
      </w:pPr>
      <w:r>
        <w:rPr>
          <w:lang w:val="pl-PL"/>
        </w:rPr>
        <w:t xml:space="preserve">FAZA KOŃCOWA  </w:t>
      </w:r>
    </w:p>
    <w:p w:rsidR="00207BF2" w:rsidRDefault="0009454D">
      <w:pPr>
        <w:pStyle w:val="Standard"/>
        <w:numPr>
          <w:ilvl w:val="0"/>
          <w:numId w:val="12"/>
        </w:numPr>
      </w:pPr>
      <w:r>
        <w:t>Podsumowanie lekcji</w:t>
      </w:r>
    </w:p>
    <w:p w:rsidR="00207BF2" w:rsidRDefault="0009454D">
      <w:pPr>
        <w:pStyle w:val="Standard"/>
        <w:numPr>
          <w:ilvl w:val="0"/>
          <w:numId w:val="12"/>
        </w:numPr>
      </w:pPr>
      <w:r>
        <w:t xml:space="preserve">Pożegnanie: </w:t>
      </w:r>
      <w:proofErr w:type="spellStart"/>
      <w:r>
        <w:t>Goodbye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/ </w:t>
      </w:r>
      <w:proofErr w:type="spellStart"/>
      <w:r>
        <w:t>teacher</w:t>
      </w:r>
      <w:proofErr w:type="spellEnd"/>
      <w:r>
        <w:t>!</w:t>
      </w:r>
    </w:p>
    <w:p w:rsidR="00207BF2" w:rsidRDefault="00207BF2">
      <w:pPr>
        <w:pStyle w:val="Standard"/>
        <w:ind w:left="720"/>
      </w:pPr>
    </w:p>
    <w:p w:rsidR="00207BF2" w:rsidRDefault="00207BF2">
      <w:pPr>
        <w:pStyle w:val="Standard"/>
        <w:ind w:left="720"/>
      </w:pPr>
    </w:p>
    <w:p w:rsidR="00207BF2" w:rsidRDefault="0009454D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Zgodność z podstawą programową</w:t>
      </w:r>
    </w:p>
    <w:p w:rsidR="00207BF2" w:rsidRDefault="0009454D">
      <w:pPr>
        <w:pStyle w:val="Standard"/>
      </w:pPr>
      <w:r>
        <w:t>Uczeń:</w:t>
      </w:r>
    </w:p>
    <w:p w:rsidR="00207BF2" w:rsidRDefault="0009454D">
      <w:pPr>
        <w:pStyle w:val="Standard"/>
        <w:spacing w:line="360" w:lineRule="auto"/>
      </w:pPr>
      <w:r>
        <w:rPr>
          <w:rFonts w:cs="Calibri"/>
          <w:lang w:eastAsia="en-US"/>
        </w:rPr>
        <w:t xml:space="preserve">1) wie, </w:t>
      </w:r>
      <w:r>
        <w:rPr>
          <w:rFonts w:ascii="TimesNewRoman" w:eastAsia="TimesNewRoman" w:hAnsi="TimesNewRoman" w:cs="TimesNewRoman"/>
          <w:lang w:eastAsia="en-US"/>
        </w:rPr>
        <w:t>ż</w:t>
      </w:r>
      <w:r>
        <w:rPr>
          <w:rFonts w:cs="Calibri"/>
          <w:lang w:eastAsia="en-US"/>
        </w:rPr>
        <w:t>e ludzie posługuj</w:t>
      </w:r>
      <w:r>
        <w:rPr>
          <w:rFonts w:ascii="TimesNewRoman" w:eastAsia="TimesNewRoman" w:hAnsi="TimesNewRoman" w:cs="TimesNewRoman"/>
          <w:lang w:eastAsia="en-US"/>
        </w:rPr>
        <w:t xml:space="preserve">ą </w:t>
      </w:r>
      <w:r>
        <w:rPr>
          <w:rFonts w:cs="Calibri"/>
          <w:lang w:eastAsia="en-US"/>
        </w:rPr>
        <w:t>si</w:t>
      </w:r>
      <w:r>
        <w:rPr>
          <w:rFonts w:ascii="TimesNewRoman" w:eastAsia="TimesNewRoman" w:hAnsi="TimesNewRoman" w:cs="TimesNewRoman"/>
          <w:lang w:eastAsia="en-US"/>
        </w:rPr>
        <w:t xml:space="preserve">ę </w:t>
      </w:r>
      <w:r>
        <w:rPr>
          <w:rFonts w:cs="Calibri"/>
          <w:lang w:eastAsia="en-US"/>
        </w:rPr>
        <w:t>ró</w:t>
      </w:r>
      <w:r>
        <w:rPr>
          <w:rFonts w:ascii="TimesNewRoman" w:eastAsia="TimesNewRoman" w:hAnsi="TimesNewRoman" w:cs="TimesNewRoman"/>
          <w:lang w:eastAsia="en-US"/>
        </w:rPr>
        <w:t>ż</w:t>
      </w:r>
      <w:r>
        <w:rPr>
          <w:rFonts w:cs="Calibri"/>
          <w:lang w:eastAsia="en-US"/>
        </w:rPr>
        <w:t>nymi j</w:t>
      </w:r>
      <w:r>
        <w:rPr>
          <w:rFonts w:ascii="TimesNewRoman" w:eastAsia="TimesNewRoman" w:hAnsi="TimesNewRoman" w:cs="TimesNewRoman"/>
          <w:lang w:eastAsia="en-US"/>
        </w:rPr>
        <w:t>ę</w:t>
      </w:r>
      <w:r>
        <w:rPr>
          <w:rFonts w:cs="Calibri"/>
          <w:lang w:eastAsia="en-US"/>
        </w:rPr>
        <w:t>zykami i aby si</w:t>
      </w:r>
      <w:r>
        <w:rPr>
          <w:rFonts w:ascii="TimesNewRoman" w:eastAsia="TimesNewRoman" w:hAnsi="TimesNewRoman" w:cs="TimesNewRoman"/>
          <w:lang w:eastAsia="en-US"/>
        </w:rPr>
        <w:t xml:space="preserve">ę </w:t>
      </w:r>
      <w:r>
        <w:rPr>
          <w:rFonts w:cs="Calibri"/>
          <w:lang w:eastAsia="en-US"/>
        </w:rPr>
        <w:t>z nimi porozumieć, trze</w:t>
      </w:r>
      <w:r>
        <w:rPr>
          <w:rFonts w:cs="Calibri"/>
          <w:lang w:eastAsia="en-US"/>
        </w:rPr>
        <w:t>ba</w:t>
      </w:r>
    </w:p>
    <w:p w:rsidR="00207BF2" w:rsidRDefault="0009454D">
      <w:pPr>
        <w:pStyle w:val="Standard"/>
        <w:spacing w:line="360" w:lineRule="auto"/>
      </w:pPr>
      <w:r>
        <w:rPr>
          <w:rFonts w:cs="Calibri"/>
          <w:lang w:eastAsia="en-US"/>
        </w:rPr>
        <w:t>nauczyć</w:t>
      </w:r>
      <w:r>
        <w:rPr>
          <w:rFonts w:ascii="TimesNewRoman" w:eastAsia="TimesNewRoman" w:hAnsi="TimesNewRoman" w:cs="TimesNewRoman"/>
          <w:lang w:eastAsia="en-US"/>
        </w:rPr>
        <w:t xml:space="preserve"> </w:t>
      </w:r>
      <w:r>
        <w:rPr>
          <w:rFonts w:cs="Calibri"/>
          <w:lang w:eastAsia="en-US"/>
        </w:rPr>
        <w:t>si</w:t>
      </w:r>
      <w:r>
        <w:rPr>
          <w:rFonts w:ascii="TimesNewRoman" w:eastAsia="TimesNewRoman" w:hAnsi="TimesNewRoman" w:cs="TimesNewRoman"/>
          <w:lang w:eastAsia="en-US"/>
        </w:rPr>
        <w:t xml:space="preserve">ę </w:t>
      </w:r>
      <w:r>
        <w:rPr>
          <w:rFonts w:cs="Calibri"/>
          <w:lang w:eastAsia="en-US"/>
        </w:rPr>
        <w:t>ich j</w:t>
      </w:r>
      <w:r>
        <w:rPr>
          <w:rFonts w:ascii="TimesNewRoman" w:eastAsia="TimesNewRoman" w:hAnsi="TimesNewRoman" w:cs="TimesNewRoman"/>
          <w:lang w:eastAsia="en-US"/>
        </w:rPr>
        <w:t>ę</w:t>
      </w:r>
      <w:r>
        <w:rPr>
          <w:rFonts w:cs="Calibri"/>
          <w:lang w:eastAsia="en-US"/>
        </w:rPr>
        <w:t>zyka</w:t>
      </w:r>
    </w:p>
    <w:p w:rsidR="00207BF2" w:rsidRDefault="0009454D">
      <w:pPr>
        <w:pStyle w:val="Standard"/>
        <w:spacing w:line="36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2) reaguje werbalnie i niewerbalnie na proste polecenia nauczyciela</w:t>
      </w:r>
    </w:p>
    <w:p w:rsidR="00207BF2" w:rsidRDefault="0009454D">
      <w:pPr>
        <w:pStyle w:val="Standard"/>
        <w:spacing w:line="36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3) rozumie wypowiedzi ze słuchu</w:t>
      </w:r>
    </w:p>
    <w:p w:rsidR="00207BF2" w:rsidRDefault="00207BF2">
      <w:pPr>
        <w:pStyle w:val="Standard"/>
        <w:spacing w:line="360" w:lineRule="auto"/>
        <w:rPr>
          <w:rFonts w:cs="Calibri"/>
          <w:lang w:eastAsia="en-US"/>
        </w:rPr>
      </w:pPr>
    </w:p>
    <w:p w:rsidR="00207BF2" w:rsidRDefault="00207BF2">
      <w:pPr>
        <w:pStyle w:val="Standard"/>
        <w:spacing w:line="360" w:lineRule="auto"/>
        <w:jc w:val="right"/>
        <w:rPr>
          <w:rFonts w:cs="Calibri"/>
          <w:lang w:eastAsia="en-US"/>
        </w:rPr>
      </w:pPr>
    </w:p>
    <w:p w:rsidR="00207BF2" w:rsidRDefault="0009454D">
      <w:pPr>
        <w:pStyle w:val="Standard"/>
        <w:spacing w:line="360" w:lineRule="auto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przygotowała</w:t>
      </w:r>
    </w:p>
    <w:p w:rsidR="00207BF2" w:rsidRDefault="0009454D">
      <w:pPr>
        <w:pStyle w:val="Standard"/>
        <w:spacing w:line="360" w:lineRule="auto"/>
        <w:jc w:val="right"/>
      </w:pPr>
      <w:r>
        <w:rPr>
          <w:rFonts w:cs="Calibri"/>
          <w:lang w:eastAsia="en-US"/>
        </w:rPr>
        <w:t xml:space="preserve">Martyna </w:t>
      </w:r>
      <w:proofErr w:type="spellStart"/>
      <w:r>
        <w:rPr>
          <w:rFonts w:cs="Calibri"/>
          <w:lang w:eastAsia="en-US"/>
        </w:rPr>
        <w:t>Somerlik</w:t>
      </w:r>
      <w:proofErr w:type="spellEnd"/>
      <w:r>
        <w:rPr>
          <w:rFonts w:cs="Calibri"/>
          <w:lang w:eastAsia="en-US"/>
        </w:rPr>
        <w:t xml:space="preserve"> - Przybyła</w:t>
      </w:r>
    </w:p>
    <w:sectPr w:rsidR="00207B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4D" w:rsidRDefault="0009454D">
      <w:r>
        <w:separator/>
      </w:r>
    </w:p>
  </w:endnote>
  <w:endnote w:type="continuationSeparator" w:id="0">
    <w:p w:rsidR="0009454D" w:rsidRDefault="000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4D" w:rsidRDefault="0009454D">
      <w:r>
        <w:rPr>
          <w:color w:val="000000"/>
        </w:rPr>
        <w:separator/>
      </w:r>
    </w:p>
  </w:footnote>
  <w:footnote w:type="continuationSeparator" w:id="0">
    <w:p w:rsidR="0009454D" w:rsidRDefault="0009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F4A"/>
    <w:multiLevelType w:val="multilevel"/>
    <w:tmpl w:val="EDE28B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B54EEA"/>
    <w:multiLevelType w:val="multilevel"/>
    <w:tmpl w:val="43C44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D53A77"/>
    <w:multiLevelType w:val="multilevel"/>
    <w:tmpl w:val="47CE26AE"/>
    <w:styleLink w:val="WWNum1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4122B3F"/>
    <w:multiLevelType w:val="multilevel"/>
    <w:tmpl w:val="7AAA542C"/>
    <w:styleLink w:val="WWNum3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2325FA6"/>
    <w:multiLevelType w:val="multilevel"/>
    <w:tmpl w:val="4C66588C"/>
    <w:styleLink w:val="WWNum2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0F376EC"/>
    <w:multiLevelType w:val="multilevel"/>
    <w:tmpl w:val="07EC69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AF71A3"/>
    <w:multiLevelType w:val="multilevel"/>
    <w:tmpl w:val="B7AE2B3C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E1B235C"/>
    <w:multiLevelType w:val="multilevel"/>
    <w:tmpl w:val="5A027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E970F4"/>
    <w:multiLevelType w:val="multilevel"/>
    <w:tmpl w:val="16CE640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0692299"/>
    <w:multiLevelType w:val="multilevel"/>
    <w:tmpl w:val="244E184A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3EC11BD"/>
    <w:multiLevelType w:val="multilevel"/>
    <w:tmpl w:val="5AFA7EE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77A4D24"/>
    <w:multiLevelType w:val="multilevel"/>
    <w:tmpl w:val="6BCE304E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7BF2"/>
    <w:rsid w:val="0009454D"/>
    <w:rsid w:val="00207BF2"/>
    <w:rsid w:val="003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rFonts w:eastAsia="Arial Unicode MS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rFonts w:eastAsia="Arial Unicode MS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body-parts-esl-vocabulary-game-sea-battle-volley-ga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macmr</cp:lastModifiedBy>
  <cp:revision>2</cp:revision>
  <dcterms:created xsi:type="dcterms:W3CDTF">2019-11-03T20:47:00Z</dcterms:created>
  <dcterms:modified xsi:type="dcterms:W3CDTF">2019-11-03T20:47:00Z</dcterms:modified>
</cp:coreProperties>
</file>